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79" w:rsidRPr="009F5F79" w:rsidRDefault="009F5F79" w:rsidP="009F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F79" w:rsidRPr="009F5F79" w:rsidRDefault="00774D6C" w:rsidP="009F5F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F5F79" w:rsidRPr="009F5F79">
        <w:rPr>
          <w:rFonts w:ascii="Times New Roman" w:eastAsia="Times New Roman" w:hAnsi="Times New Roman" w:cs="Times New Roman"/>
          <w:b/>
          <w:sz w:val="24"/>
          <w:szCs w:val="24"/>
        </w:rPr>
        <w:t>ланов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9F5F79" w:rsidRPr="009F5F79">
        <w:rPr>
          <w:rFonts w:ascii="Times New Roman" w:eastAsia="Times New Roman" w:hAnsi="Times New Roman" w:cs="Times New Roman"/>
          <w:b/>
          <w:sz w:val="24"/>
          <w:szCs w:val="24"/>
        </w:rPr>
        <w:t xml:space="preserve"> выездн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9F5F79" w:rsidRPr="009F5F79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выборочн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9F5F79" w:rsidRPr="009F5F7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F5F79" w:rsidRPr="009F5F7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соблюдения </w:t>
      </w:r>
      <w:r w:rsidR="009F5F79">
        <w:rPr>
          <w:rFonts w:ascii="Times New Roman" w:eastAsia="Times New Roman" w:hAnsi="Times New Roman" w:cs="Times New Roman"/>
          <w:b/>
          <w:sz w:val="24"/>
          <w:szCs w:val="24"/>
        </w:rPr>
        <w:t>Управлением имущественных и земельных отношений Ненецкого автономного округа бюджетного законодательства Российской Федерации и иных нормативных правовых актов, регулирующих бюджетные правоотношения, при планировании, обосновании, предоставлении субсидий и бюджетных инвестиций, обеспечении соблюдения получателями субсидий условий, целей и порядка, установленных при их предоставлении.</w:t>
      </w:r>
    </w:p>
    <w:p w:rsidR="009F5F79" w:rsidRPr="009F5F79" w:rsidRDefault="00774D6C" w:rsidP="009F5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5F79" w:rsidRPr="00774D6C" w:rsidRDefault="009F5F79" w:rsidP="009F5F7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eastAsia="Times New Roman" w:hAnsi="Times New Roman" w:cs="Times New Roman"/>
          <w:sz w:val="24"/>
          <w:szCs w:val="24"/>
        </w:rPr>
        <w:t>На основании распоряжения заместителя руководителя Аппарата Администрации Ненецкого автономного округа – начальника контрольно-ревизионного управления от 04.08.2016 № 393-ра проверочной группой контрольно-ревизионного управления Аппарата Администрации Ненецкого автономного округа проведена плановая выездная выборочная проверка соблюдения Управлением имущественных и земельных отношений Ненецкого автономного округа бюджетного законодательства Российской Федерации и иных нормативных правовых актов, регулирующих бюджетные правоотношения, при планировании, обосновании, предоставлении субсидий и бюджетных инвестиций, обеспечении</w:t>
      </w:r>
      <w:proofErr w:type="gramEnd"/>
      <w:r w:rsidRPr="00774D6C">
        <w:rPr>
          <w:rFonts w:ascii="Times New Roman" w:eastAsia="Times New Roman" w:hAnsi="Times New Roman" w:cs="Times New Roman"/>
          <w:sz w:val="24"/>
          <w:szCs w:val="24"/>
        </w:rPr>
        <w:t xml:space="preserve"> соблюдения получателями субсидий условий, целей и порядка, установленных при их предоставлении (далее – проверка). </w:t>
      </w:r>
    </w:p>
    <w:p w:rsidR="009F5F79" w:rsidRPr="00774D6C" w:rsidRDefault="009F5F79" w:rsidP="009F5F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>Правовые  основания проведения проверки: статья 157 Бюджетного кодекса Российской Федерации, пункт 5 Положения о порядке осуществления Аппаратом Администрации Ненецкого автономного округа полномочий по внутреннему государственному финансовому контролю, утвержденного постановлением Администрации Ненецкого автономного округа от 27.04.2016 № 136-п, пункт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пункт 10 Положения о контрольно-ревизионном управлении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Аппарата Администрации Ненецкого автономного округа, утвержденного приказом Аппарата Администрации Ненецкого автономного округа от 29.09.2015 № 66, план контрольных мероприятий в финансово-бюджетной сфере Аппарата Администрации Ненецкого автономного округа на 2016 год. </w:t>
      </w:r>
    </w:p>
    <w:p w:rsidR="009F5F79" w:rsidRPr="00774D6C" w:rsidRDefault="009F5F79" w:rsidP="009F5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6C">
        <w:rPr>
          <w:rFonts w:ascii="Times New Roman" w:eastAsia="Times New Roman" w:hAnsi="Times New Roman" w:cs="Times New Roman"/>
          <w:sz w:val="24"/>
          <w:szCs w:val="24"/>
        </w:rPr>
        <w:t>Состав проверочной группы:</w:t>
      </w:r>
    </w:p>
    <w:p w:rsidR="009F5F79" w:rsidRPr="00774D6C" w:rsidRDefault="009F5F79" w:rsidP="009F5F7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>Волошина Ирина Николаевна, заместитель руководителя Аппарата Администрации Ненецкого автономного округа – начальник</w:t>
      </w:r>
      <w:r w:rsidR="00EC75B3" w:rsidRPr="00774D6C">
        <w:rPr>
          <w:rFonts w:ascii="Times New Roman" w:hAnsi="Times New Roman" w:cs="Times New Roman"/>
          <w:sz w:val="24"/>
          <w:szCs w:val="24"/>
        </w:rPr>
        <w:t xml:space="preserve"> </w:t>
      </w:r>
      <w:r w:rsidRPr="00774D6C">
        <w:rPr>
          <w:rFonts w:ascii="Times New Roman" w:hAnsi="Times New Roman" w:cs="Times New Roman"/>
          <w:sz w:val="24"/>
          <w:szCs w:val="24"/>
        </w:rPr>
        <w:t>контрольно-ревизионного управления – руководитель проверочной группы;</w:t>
      </w:r>
    </w:p>
    <w:p w:rsidR="009F5F79" w:rsidRPr="00774D6C" w:rsidRDefault="009F5F79" w:rsidP="009F5F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Зырянова Екатерина Валериевна, главный консультант отдела по контролю в сфере бюджетных правоотношений контрольно-ревизионного управления Аппарата Администрации Ненецкого автономного округа – член проверочной группы. </w:t>
      </w:r>
    </w:p>
    <w:p w:rsidR="009F5F79" w:rsidRPr="00774D6C" w:rsidRDefault="009F5F79" w:rsidP="009F5F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eastAsia="Times New Roman" w:hAnsi="Times New Roman" w:cs="Times New Roman"/>
          <w:sz w:val="24"/>
          <w:szCs w:val="24"/>
        </w:rPr>
        <w:t>Тема проверки: соблюдение бюджетного законодательства Российской Федерации и иных нормативных правовых актов, регулирующих бюджетные правоотношения, при планировании, обосновании, предоставлении субсидий и бюджетных инвестиций, обеспечении соблюдения получателями субсидий условий, целей и порядка, установленных при их предоставлении</w:t>
      </w:r>
      <w:r w:rsidRPr="00774D6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F5F79" w:rsidRPr="00774D6C" w:rsidRDefault="009F5F79" w:rsidP="009F5F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6C">
        <w:rPr>
          <w:rFonts w:ascii="Times New Roman" w:eastAsia="Times New Roman" w:hAnsi="Times New Roman" w:cs="Times New Roman"/>
          <w:sz w:val="24"/>
          <w:szCs w:val="24"/>
        </w:rPr>
        <w:t xml:space="preserve">Проверяемый период: </w:t>
      </w:r>
      <w:r w:rsidRPr="00774D6C">
        <w:rPr>
          <w:rFonts w:ascii="Times New Roman" w:hAnsi="Times New Roman" w:cs="Times New Roman"/>
          <w:sz w:val="24"/>
          <w:szCs w:val="24"/>
        </w:rPr>
        <w:t xml:space="preserve">с 01.01.2014 по 31.07.2016. </w:t>
      </w:r>
    </w:p>
    <w:p w:rsidR="009F5F79" w:rsidRPr="00774D6C" w:rsidRDefault="009F5F79" w:rsidP="009F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контрольных действий: </w:t>
      </w:r>
      <w:r w:rsidRPr="00774D6C">
        <w:rPr>
          <w:rFonts w:ascii="Times New Roman" w:hAnsi="Times New Roman" w:cs="Times New Roman"/>
          <w:sz w:val="24"/>
          <w:szCs w:val="24"/>
        </w:rPr>
        <w:t xml:space="preserve">с 08.08.2016 по 31.08.2016.  </w:t>
      </w:r>
    </w:p>
    <w:p w:rsidR="00774D6C" w:rsidRPr="00774D6C" w:rsidRDefault="00774D6C" w:rsidP="00774D6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 </w:t>
      </w:r>
      <w:r w:rsidRPr="00774D6C">
        <w:rPr>
          <w:rFonts w:ascii="Times New Roman" w:hAnsi="Times New Roman" w:cs="Times New Roman"/>
          <w:sz w:val="24"/>
          <w:szCs w:val="24"/>
        </w:rPr>
        <w:t xml:space="preserve">Объем проверенных средств бюджета Ненецкого автономного округа: 429 576,1 тыс. руб. </w:t>
      </w:r>
    </w:p>
    <w:p w:rsidR="00774D6C" w:rsidRPr="00774D6C" w:rsidRDefault="00774D6C" w:rsidP="00774D6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>Размер финансовых нарушений: 32 989,88 тыс. руб.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774D6C">
        <w:rPr>
          <w:rFonts w:ascii="Times New Roman" w:hAnsi="Times New Roman" w:cs="Times New Roman"/>
          <w:sz w:val="24"/>
          <w:szCs w:val="24"/>
        </w:rPr>
        <w:t>п</w:t>
      </w:r>
      <w:r w:rsidRPr="00774D6C">
        <w:rPr>
          <w:rFonts w:ascii="Times New Roman" w:hAnsi="Times New Roman" w:cs="Times New Roman"/>
          <w:sz w:val="24"/>
          <w:szCs w:val="24"/>
        </w:rPr>
        <w:t>ункт</w:t>
      </w:r>
      <w:r w:rsidRPr="00774D6C">
        <w:rPr>
          <w:rFonts w:ascii="Times New Roman" w:hAnsi="Times New Roman" w:cs="Times New Roman"/>
          <w:sz w:val="24"/>
          <w:szCs w:val="24"/>
        </w:rPr>
        <w:t>а</w:t>
      </w:r>
      <w:r w:rsidRPr="00774D6C">
        <w:rPr>
          <w:rFonts w:ascii="Times New Roman" w:hAnsi="Times New Roman" w:cs="Times New Roman"/>
          <w:sz w:val="24"/>
          <w:szCs w:val="24"/>
        </w:rPr>
        <w:t xml:space="preserve"> 6 статьи 21 Бюджетного кодекса Российской Федерации (далее - БК РФ),  Указани</w:t>
      </w:r>
      <w:r w:rsidRPr="00774D6C">
        <w:rPr>
          <w:rFonts w:ascii="Times New Roman" w:hAnsi="Times New Roman" w:cs="Times New Roman"/>
          <w:sz w:val="24"/>
          <w:szCs w:val="24"/>
        </w:rPr>
        <w:t>й</w:t>
      </w:r>
      <w:r w:rsidRPr="00774D6C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классификации, утвержденные приказом Министерства финансов Российской Федерации № 65н от 01.07.2013 (далее – Указания № 65н), пункт</w:t>
      </w:r>
      <w:r w:rsidRPr="00774D6C">
        <w:rPr>
          <w:rFonts w:ascii="Times New Roman" w:hAnsi="Times New Roman" w:cs="Times New Roman"/>
          <w:sz w:val="24"/>
          <w:szCs w:val="24"/>
        </w:rPr>
        <w:t>а</w:t>
      </w:r>
      <w:r w:rsidRPr="00774D6C">
        <w:rPr>
          <w:rFonts w:ascii="Times New Roman" w:hAnsi="Times New Roman" w:cs="Times New Roman"/>
          <w:sz w:val="24"/>
          <w:szCs w:val="24"/>
        </w:rPr>
        <w:t xml:space="preserve"> 11 Порядка составления проекта окружного бюджета и проекта бюджета Территориального фонда обязательного медицинского страхования Ненецкого автономного округа на очередной финансовый год и плановый период, утвержденного постановлением Администрации Ненецкого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автономного округа от 17.04.2014 № 120-п (далее </w:t>
      </w:r>
      <w:r w:rsidRPr="00774D6C">
        <w:rPr>
          <w:rFonts w:ascii="Times New Roman" w:hAnsi="Times New Roman" w:cs="Times New Roman"/>
          <w:sz w:val="24"/>
          <w:szCs w:val="24"/>
        </w:rPr>
        <w:lastRenderedPageBreak/>
        <w:t>– Порядок № 120-п), пункт</w:t>
      </w:r>
      <w:r w:rsidRPr="00774D6C">
        <w:rPr>
          <w:rFonts w:ascii="Times New Roman" w:hAnsi="Times New Roman" w:cs="Times New Roman"/>
          <w:sz w:val="24"/>
          <w:szCs w:val="24"/>
        </w:rPr>
        <w:t>ов</w:t>
      </w:r>
      <w:r w:rsidRPr="00774D6C">
        <w:rPr>
          <w:rFonts w:ascii="Times New Roman" w:hAnsi="Times New Roman" w:cs="Times New Roman"/>
          <w:sz w:val="24"/>
          <w:szCs w:val="24"/>
        </w:rPr>
        <w:t xml:space="preserve"> 3 и 4 Порядка планирования бюджетных ассигнований окружного бюджета на очередной финансовый год и плановый период, утвержденного приказом УФ НАО от 14.05.2013 № 9-о (далее – Порядок № 9-о), бюджетная заявка </w:t>
      </w:r>
      <w:r w:rsidRPr="00774D6C">
        <w:rPr>
          <w:rFonts w:ascii="Times New Roman" w:hAnsi="Times New Roman" w:cs="Times New Roman"/>
          <w:sz w:val="24"/>
          <w:szCs w:val="24"/>
        </w:rPr>
        <w:t xml:space="preserve">Управления государственного имущества Ненецкого автономного округа (далее - </w:t>
      </w:r>
      <w:r w:rsidRPr="00774D6C">
        <w:rPr>
          <w:rFonts w:ascii="Times New Roman" w:hAnsi="Times New Roman" w:cs="Times New Roman"/>
          <w:sz w:val="24"/>
          <w:szCs w:val="24"/>
        </w:rPr>
        <w:t>УГИ НАО</w:t>
      </w:r>
      <w:r w:rsidRPr="00774D6C">
        <w:rPr>
          <w:rFonts w:ascii="Times New Roman" w:hAnsi="Times New Roman" w:cs="Times New Roman"/>
          <w:sz w:val="24"/>
          <w:szCs w:val="24"/>
        </w:rPr>
        <w:t>)</w:t>
      </w:r>
      <w:r w:rsidRPr="00774D6C">
        <w:rPr>
          <w:rFonts w:ascii="Times New Roman" w:hAnsi="Times New Roman" w:cs="Times New Roman"/>
          <w:sz w:val="24"/>
          <w:szCs w:val="24"/>
        </w:rPr>
        <w:t xml:space="preserve"> от 14.04.2014 о включении в Закон № 103-ОЗ расходов по взносу в уставный фонд ГУП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НАО «НКЭС» в размере 1 893,3 тыс. руб. определяет подлежащие отражению по КВР 810 «Субсидии юридическим лицам (кроме некоммерческих организаций), индивидуальным предпринимателям, физическим лицам» расходы по КВР 451 «Бюджетные инвестиции иным юридическим лицам в объекты капитального строительства». 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пунктов 1 и 2 статьи 217 БК РФ, Указаний № 65н, пункта 6 статьи 21, </w:t>
      </w:r>
      <w:r w:rsidRPr="00774D6C">
        <w:rPr>
          <w:rFonts w:ascii="Times New Roman" w:hAnsi="Times New Roman"/>
          <w:sz w:val="24"/>
          <w:szCs w:val="24"/>
        </w:rPr>
        <w:t>пункт</w:t>
      </w:r>
      <w:r w:rsidRPr="00774D6C">
        <w:rPr>
          <w:rFonts w:ascii="Times New Roman" w:hAnsi="Times New Roman"/>
          <w:sz w:val="24"/>
          <w:szCs w:val="24"/>
        </w:rPr>
        <w:t>а</w:t>
      </w:r>
      <w:r w:rsidRPr="00774D6C">
        <w:rPr>
          <w:rFonts w:ascii="Times New Roman" w:hAnsi="Times New Roman"/>
          <w:sz w:val="24"/>
          <w:szCs w:val="24"/>
        </w:rPr>
        <w:t xml:space="preserve"> 2.3  Порядка составления и ведения сводной росписи окружного бюджета, бюджетных росписей главных распорядителей (распорядителей) средств окружного бюджета (главных администраторов источников финансирования дефицита окружного бюджета), утвержденного приказом Управления финансов и экономического развития Ненецкого автономного округа от 29.12.2011 № 45-о (далее – Порядок № 45-о)</w:t>
      </w:r>
      <w:r w:rsidRPr="00774D6C">
        <w:rPr>
          <w:rFonts w:ascii="Times New Roman" w:hAnsi="Times New Roman" w:cs="Times New Roman"/>
          <w:sz w:val="24"/>
          <w:szCs w:val="24"/>
        </w:rPr>
        <w:t xml:space="preserve"> уведомление № 8 на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и распределение кассового плана в 2014 году от 21.04.2014 № 1008/03-06 определяет подлежащие отражению по КВР 466 «Субсидии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предприятиям» расходы по взносу в уставный фонд ГУП НАО «НКЭС» в размере 1 893,3 тыс. руб. по КВР 451 «Бюджетные инвестиции иным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юридическим лицам в объекты капитального строительства». 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статьи 6, пункта 6 статьи 21, статьи 162 БК РФ, Указаний № 65н бюджетная смета УГИ НАО на 2014 год определяет подлежащие отражению по КВР 466 «Субсидии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предприятиям» расходы по взносу в уставный фонд ГУП НАО «НКЭС» в размере 1 893,3 тыс. руб. по КВР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451 «Бюджетные инвестиции иным юридическим лицам в объекты капитального строительства». УГИ НАО не предприняты меры, направленные на обеспечение соблюдения законодательства, путем направления предложений о внесении необходимых изменений в сводную бюджетную роспись. 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пункта 6 статьи 21 БК РФ, Указаний № 65н, пункта 11 Порядка № 120-п, пунктов 3 и 4 Порядка № 9-о бюджетная заявка УГИ НАО от 14.04.2014 о включении в Закон № 103-ОЗ расходов по взносу в уставный фонд ГУП НАО «АПК» в размере 6 500 тыс. руб. определяет подлежащие отражению по КВР 810 «Субсидии юридическим лицам (кроме некоммерческих организаций), индивидуальным предпринимателям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, физическим лицам» расходы по КВР 451 «Бюджетные инвестиции иным юридическим лицам в объекты капитального строительства». 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пункта 6 статьи 21, пункта 1 статьи 217 БК РФ, Указаний № 65н, пункта 2.3 Порядка № 45-о уведомление № 21 на внесение изменений в сводную бюджетную роспись и распределение кассового плана в 2014 году № 3208/03-06 от 05.12.2014 определяет подлежащие отражению по КВР 466 «Субсидии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» расходы по взносу в уставный фонд ГУП НАО «АПК» в размере 6 500 000 руб. по КВР 451 «Бюджетные инвестиции иным юридическим лицам в объекты капитального строительства».   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статьи 6, пункта 6 статьи 21, статьи 162 БК РФ, Указаний № 65н бюджетная смета УГИ НАО определяет подлежащие отражению по КВР 466 «Субсидии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предприятиям» КЭК 530 «Увеличение стоимости акций и иных форм участия в капитале» расходы по взносу в уставный фонд ГУП НАО «АПК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» в размере 6 500 000 руб. по КВР 414 «Бюджетные инвестиции в объекты капитального строительства государственной собственности» КЭК 310 «Увеличение стоимости основных средств». УГИ НАО не </w:t>
      </w:r>
      <w:r w:rsidRPr="00774D6C">
        <w:rPr>
          <w:rFonts w:ascii="Times New Roman" w:hAnsi="Times New Roman" w:cs="Times New Roman"/>
          <w:sz w:val="24"/>
          <w:szCs w:val="24"/>
        </w:rPr>
        <w:lastRenderedPageBreak/>
        <w:t xml:space="preserve">предприняты меры, направленные на обеспечение соблюдения законодательства, путем направления предложений о внесении необходимых изменений в бюджетную роспись. 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пункта 6 статьи 21 БК РФ, Указаний № 65н, пункта 11 Порядка № 120-п, пунктов 3 и 4 Порядка № 9-о бюджетная заявка УГИ НАО от 24.11.2014 № 3050/03-06 о включении в Закон № 103-ОЗ расходов по взносу в уставный фонд ГУП НАО «АПК» в размере 13 500 тыс. руб. определяет подлежащие отражению по КВР 810 «Субсидии юридическим лицам (кроме некоммерческих организаций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>), индивидуальным предпринимателям, физическим лицам» расходы по КВР 452 «Бюджетные инвестиции иным юридическим лицам, за исключением бюджетных инвестиций в объекты капитального строительства».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пункта 6 статьи 21, пункта 1 статьи 217 БК РФ, Указаний № 65н, пункта 2.3 Порядка № 45-о уведомление № 21 на внесение изменений в сводную бюджетную роспись и распределение кассового плана в 2014 году № 3208/03-06 от 05.12.2014 определяет подлежащие отражению по КВР 463 «Субсидии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предприятиям» либо 466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«Субсидии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предприятиям» расходы по взносу в уставный фонд ГУП НАО «АПК» в размере 13 500 000 руб. по КВР 452 «Бюджетные инвестиции иным юридическим лицам, за исключением бюджетных инвестиций в объекты капитального строительства».   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пункта 6 статьи 21 БК РФ, Указаний № 65н, пункта 11 Порядка № 120-п, пунктов 3 и 4 Порядка № 9-о бюджетная заявка УГИ НАО от 03.04.2014 № 806/03-06 о включении в Закон № 103-ОЗ расходов по взносу в уставный фонд ГУП НАО «АПК» в размере 100 000 тыс. руб. определяет подлежащие отражению по КВР 810 «Субсидии юридическим лицам (кроме некоммерческих организаций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>), индивидуальным предпринимателям, физическим лицам» расходы по КВР 452 «Бюджетные инвестиции иным юридическим лицам, за исключением бюджетных инвестиций в объекты капитального строительства».</w:t>
      </w:r>
    </w:p>
    <w:p w:rsidR="00774D6C" w:rsidRPr="00774D6C" w:rsidRDefault="00774D6C" w:rsidP="00774D6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пункта 6 статьи 21, пункта 1 статьи 217 БК РФ, Указаний № 65н, пункта 2.3 Порядка № 45-о уведомление № 8 на внесение изменений в сводную бюджетную роспись и распределение кассового плана в 2014 году № 1008/03-06 от 21.04.2014  определяет подлежащие отражению по КВР 463 «Субсидии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предприятиям» либо 466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«Субсидии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предприятиям» расходы по взносу в уставный  фонд ГУП НАО «АПК» в размере 100 000 000 руб. по КВР 452 «Бюджетные инвестиции иным юридическим лицам, за исключением бюджетных инвестиций в объекты капитального строительства».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статьи 6, пункта 6 статьи 21, статьи 162 БК РФ, Указаний № 65н бюджетная смета УГИ НАО на 2014 год определяет подлежащие отражению КВР 463 «Субсидии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предприятиям» либо 466 «Субсидии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предприятиям» расходы по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взносу в уставный  фонд ГУП НАО «АПК» по КВР 452 «Бюджетные инвестиции иным юридическим лицам, за исключением бюджетных инвестиций в объекты капитального строительства». УГИ НАО не предприняты меры, направленные на обеспечение соблюдения законодательства, путем направления предложений о внесении необходимых изменений в сводную бюджетную роспись.  </w:t>
      </w:r>
    </w:p>
    <w:p w:rsidR="00774D6C" w:rsidRPr="00774D6C" w:rsidRDefault="00774D6C" w:rsidP="00774D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части 1 статьи 17 </w:t>
      </w:r>
      <w:r w:rsidRPr="00774D6C">
        <w:rPr>
          <w:rFonts w:ascii="Times New Roman" w:hAnsi="Times New Roman"/>
          <w:sz w:val="24"/>
          <w:szCs w:val="24"/>
        </w:rPr>
        <w:t>закона Ненецкого автономного округа от 24.12.2007 № 177-ОЗ «О бюджетном процессе в Ненецком автономном округе» (далее – Закон № 177-ОЗ)</w:t>
      </w:r>
      <w:r w:rsidRPr="00774D6C">
        <w:rPr>
          <w:rFonts w:ascii="Times New Roman" w:hAnsi="Times New Roman"/>
          <w:sz w:val="24"/>
          <w:szCs w:val="24"/>
        </w:rPr>
        <w:t xml:space="preserve"> </w:t>
      </w:r>
      <w:r w:rsidRPr="00774D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УГИ НАО направлены в УФ НАО бюджетные заявки </w:t>
      </w:r>
      <w:r w:rsidRPr="00774D6C">
        <w:rPr>
          <w:rFonts w:ascii="Times New Roman" w:hAnsi="Times New Roman" w:cs="Times New Roman"/>
          <w:sz w:val="24"/>
          <w:szCs w:val="24"/>
        </w:rPr>
        <w:t>о включении в Закон № 103-ОЗ расходов по взносам в уставный фонд ГУП НАО «НКЭС» в размере 1 893,3 тыс. руб.,  в уставный фонд ГУП НАО «АПК» в размере 6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 500 тыс. руб., 13 500 тыс. руб., 100 000 тыс. руб.,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по КВР 400, и не предусмотренных долгосрочными целевыми программами или нормативными правовыми актами Администрации Ненецкого автономного округа.</w:t>
      </w:r>
    </w:p>
    <w:p w:rsidR="00774D6C" w:rsidRPr="00774D6C" w:rsidRDefault="00774D6C" w:rsidP="00774D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пункта 2.1.1 </w:t>
      </w:r>
      <w:r w:rsidRPr="00774D6C">
        <w:rPr>
          <w:rFonts w:ascii="Times New Roman" w:hAnsi="Times New Roman"/>
          <w:sz w:val="24"/>
          <w:szCs w:val="24"/>
        </w:rPr>
        <w:t>Положения об Управлении государственного имущества Ненецкого автономного округа, утвержденного постановлением Администрации Ненецкого автономного округа от 06.02.2013 № 31-п  № 31-п</w:t>
      </w:r>
      <w:r w:rsidRPr="00774D6C">
        <w:rPr>
          <w:rFonts w:ascii="Times New Roman" w:hAnsi="Times New Roman" w:cs="Times New Roman"/>
          <w:sz w:val="24"/>
          <w:szCs w:val="24"/>
        </w:rPr>
        <w:t>, части 1 статьи 17 Закона № 177-ОЗ</w:t>
      </w:r>
      <w:r w:rsidRPr="00774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4D6C">
        <w:rPr>
          <w:rFonts w:ascii="Times New Roman" w:hAnsi="Times New Roman" w:cs="Times New Roman"/>
          <w:sz w:val="24"/>
          <w:szCs w:val="24"/>
        </w:rPr>
        <w:t>УГИ НАО не разработаны и не представлены в Администрацию Ненецкого автономного округа проекты правовых актов, предусматривающих указанные бюджетные ассигнования, а также проект нормативного правового акта.</w:t>
      </w:r>
      <w:proofErr w:type="gramEnd"/>
    </w:p>
    <w:p w:rsidR="00774D6C" w:rsidRPr="00774D6C" w:rsidRDefault="00774D6C" w:rsidP="00774D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пункта 11 Порядка № 120-п, пунктов 3 и 4 Порядка № 9-о, пункта 6 статьи 21 БК РФ, Указаний № 65н бюджетная заявка УГИ НАО от 30.10.2014 о включении в Закон № 103-ОЗ расходов по взносу в уставный фонд ГУП НАО «</w:t>
      </w:r>
      <w:proofErr w:type="spellStart"/>
      <w:r w:rsidRPr="00774D6C">
        <w:rPr>
          <w:rFonts w:ascii="Times New Roman" w:hAnsi="Times New Roman" w:cs="Times New Roman"/>
          <w:sz w:val="24"/>
          <w:szCs w:val="24"/>
        </w:rPr>
        <w:t>Нарьян-Мардорремстрой</w:t>
      </w:r>
      <w:proofErr w:type="spellEnd"/>
      <w:r w:rsidRPr="00774D6C">
        <w:rPr>
          <w:rFonts w:ascii="Times New Roman" w:hAnsi="Times New Roman" w:cs="Times New Roman"/>
          <w:sz w:val="24"/>
          <w:szCs w:val="24"/>
        </w:rPr>
        <w:t>» в размере 60 000 тыс. руб. определяет подлежащие отражению по КВР 810 «Субсидии юридическим лицам (кроме некоммерческих организаций), индивидуальным предпринимателям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, физическим лицам» расходы по КВР 451 «Бюджетные инвестиции иным юридическим лицам в объекты капитального строительства». 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пункта 6 статьи 21, пунктов 1 и 2 статьи 217 БК РФ, Указаний № 65н, пункта 2.3 Порядка № 45-о уведомление № 8 на внесение изменений в сводную бюджетную роспись и распределение кассового плана в 2014 году от 05.12.2014 № 3208/03-06 предусматривает включение в сводную бюджетную роспись расходов, не соответствующих Закону № 103-ОЗ.   </w:t>
      </w:r>
      <w:proofErr w:type="gramEnd"/>
    </w:p>
    <w:p w:rsidR="00774D6C" w:rsidRPr="00774D6C" w:rsidRDefault="00774D6C" w:rsidP="00774D6C">
      <w:pPr>
        <w:tabs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>В нарушение части 1 статьи 80 БК РФ бюджетная заявка УГИ НАО от 25.11.2014 о включении в Закон № 103-ОЗ бюджетных инвестиций ОАО «Мясопродукты» в размере 47 882,0 тыс. руб. направлена в УФ НАО при отсутствии решения о предоставлении соответствующих бюджетных инвестиций, оформленного нормативным правовым актом Администрации Ненецкого автономного округа.</w:t>
      </w:r>
      <w:proofErr w:type="gramEnd"/>
    </w:p>
    <w:p w:rsidR="00774D6C" w:rsidRPr="00774D6C" w:rsidRDefault="00774D6C" w:rsidP="00774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пункта 8 </w:t>
      </w:r>
      <w:r w:rsidRPr="00774D6C">
        <w:rPr>
          <w:rFonts w:ascii="Times New Roman" w:hAnsi="Times New Roman"/>
          <w:sz w:val="24"/>
          <w:szCs w:val="24"/>
        </w:rPr>
        <w:t>Положения о порядке приобретения в государственную собственность Ненецкого автономного округа акций акционерных обществ, в уставном капитале которых участвует Ненецкий автономный округ, утвержденного постановлением Администрации НАО от 13.09.2013 № 342-п</w:t>
      </w:r>
      <w:r w:rsidRPr="00774D6C">
        <w:rPr>
          <w:rFonts w:ascii="Times New Roman" w:hAnsi="Times New Roman"/>
          <w:sz w:val="24"/>
          <w:szCs w:val="24"/>
        </w:rPr>
        <w:t xml:space="preserve"> </w:t>
      </w:r>
      <w:r w:rsidRPr="00774D6C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23.12.2014 № 511-п «О предоставлении бюджетных инвестиций открытому акционерному обществу «Мясопродукты», проект которого разработан УГИ НАО, не содержит ссылку на предложение отраслевого органа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пункта 4  статьи 78.2 БК РФ, Закона № 103-ОЗ, Договор от 20.05.2014 не содержит обязательные условия: срок действия договора в пределах </w:t>
      </w:r>
      <w:r w:rsidRPr="00774D6C">
        <w:rPr>
          <w:rFonts w:ascii="Times New Roman" w:hAnsi="Times New Roman" w:cs="Times New Roman"/>
          <w:bCs/>
          <w:sz w:val="24"/>
          <w:szCs w:val="24"/>
        </w:rPr>
        <w:t xml:space="preserve">действия утвержденных лимитов бюджетных обязательств; </w:t>
      </w:r>
      <w:r w:rsidRPr="00774D6C">
        <w:rPr>
          <w:rFonts w:ascii="Times New Roman" w:hAnsi="Times New Roman" w:cs="Times New Roman"/>
          <w:sz w:val="24"/>
          <w:szCs w:val="24"/>
        </w:rPr>
        <w:t>объем субсидии с разбивкой по годам с указанием его наименования, мощности, сроков приобретения, стоимости объекта; обязанность государственного  предприятия  по открытию лицевого счета для учета операций с субсидиями;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обязанность перечисления субсидии на лицевой счет; порядок возврата  государственным предприятием средств в объеме остатка не использованной на начало очередного финансового года ранее перечисленной субсидии; порядок возврата сумм, использованных  государственным  предприятием, в случае установления по результатам проверок фактов нарушения предприятием условий, определенных соглашением. Таким образом, УГИ НАО нарушены условия предоставления субсидии  ГУП НАО «НКЭС» в размере 1 893 300 руб.  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>18. Поскольку УГИ НАО субсидия  ГУП НАО «НКЭС» предоставлена в соответствии со статьей с частью 2 статьи 14 Закона № 161-ФЗ, в нарушение пункта 4  статьи 78.2 БК РФ средства в размере 1 893 300 руб. перечислены не на лицевой, а на расчетный счет ГУП НАО «НКЭС». Размер финансового нарушения 1 893 300 руб.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   19.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Закона № 103-ОЗ, пункта 4  статьи 78.2 БК РФ Договор о предоставлении бюджетных инвестиций от 25.12.2014 не содержит обязательные условия: срок действия договора в пределах </w:t>
      </w:r>
      <w:r w:rsidRPr="00774D6C">
        <w:rPr>
          <w:rFonts w:ascii="Times New Roman" w:hAnsi="Times New Roman" w:cs="Times New Roman"/>
          <w:bCs/>
          <w:sz w:val="24"/>
          <w:szCs w:val="24"/>
        </w:rPr>
        <w:t xml:space="preserve">действия утвержденных лимитов бюджетных обязательств; </w:t>
      </w:r>
      <w:r w:rsidRPr="00774D6C">
        <w:rPr>
          <w:rFonts w:ascii="Times New Roman" w:hAnsi="Times New Roman" w:cs="Times New Roman"/>
          <w:sz w:val="24"/>
          <w:szCs w:val="24"/>
        </w:rPr>
        <w:lastRenderedPageBreak/>
        <w:t>объем субсидии с разбивкой по годам с указанием его наименования, мощности, сроков приобретения, стоимости объекта; обязанность государственного  предприятия  по открытию лицевого счета для учета операций с субсидиями;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обязанность перечисления субсидии на лицевой счет; порядок возврата  государственным предприятием средств в объеме остатка не использованной на начало очередного финансового года ранее перечисленной субсидии; порядок возврата сумм, использованных  государственным  предприятием, в случае установления по результатам проверок фактов нарушения предприятием условий, определенных соглашением. Таким образом, УГИ НАО нарушены условия предоставления субсидии  ГУП НАО «АПК» в размере 6 500 000 руб.  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20. Поскольку УГИ НАО субсидия  ГУП НАО «АПК» предоставлена в соответствии со статьей с частью 2 статьи 14 Закона № 161-ФЗ, в нарушение пункта 4  статьи 78.2 БК РФ средства в размере 6 500 000 руб. перечислены не на лицевой, а на расчетный счет ГУП НАО «АПК». Размер финансового нарушения 6 500 000 руб.   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21. 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части 1 статьи 78.2 БК РФ УГИ НАО направлены бюджетные средства в размере 1 950 000 руб. не на осуществление расходов по разработке проектно-сметной документации на строительство комплекса по содержанию молодняка крупного рогатого скота в с. </w:t>
      </w:r>
      <w:proofErr w:type="spellStart"/>
      <w:r w:rsidRPr="00774D6C">
        <w:rPr>
          <w:rFonts w:ascii="Times New Roman" w:hAnsi="Times New Roman" w:cs="Times New Roman"/>
          <w:sz w:val="24"/>
          <w:szCs w:val="24"/>
        </w:rPr>
        <w:t>Тельвиска</w:t>
      </w:r>
      <w:proofErr w:type="spellEnd"/>
      <w:r w:rsidRPr="00774D6C">
        <w:rPr>
          <w:rFonts w:ascii="Times New Roman" w:hAnsi="Times New Roman" w:cs="Times New Roman"/>
          <w:sz w:val="24"/>
          <w:szCs w:val="24"/>
        </w:rPr>
        <w:t>, а на возмещение уже понесенных ГУП НАО «АПК» не эти цели расходов.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Размер финансового нарушения 1 950 000 руб.  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 xml:space="preserve">В нарушение Закона № 103-ОЗ, пункта 4 статьи 78.2 БК РФ Договор о предоставлении бюджетных ассигнований от 25.12.2014 не содержит обязательные условия: срок действия договора в пределах </w:t>
      </w:r>
      <w:r w:rsidRPr="00774D6C">
        <w:rPr>
          <w:rFonts w:ascii="Times New Roman" w:hAnsi="Times New Roman" w:cs="Times New Roman"/>
          <w:bCs/>
          <w:sz w:val="24"/>
          <w:szCs w:val="24"/>
        </w:rPr>
        <w:t xml:space="preserve">действия утвержденных лимитов бюджетных обязательств; </w:t>
      </w:r>
      <w:r w:rsidRPr="00774D6C">
        <w:rPr>
          <w:rFonts w:ascii="Times New Roman" w:hAnsi="Times New Roman" w:cs="Times New Roman"/>
          <w:sz w:val="24"/>
          <w:szCs w:val="24"/>
        </w:rPr>
        <w:t>объем субсидии с разбивкой по годам с указанием его наименования, мощности, сроков приобретения, стоимости объекта; обязанность государственного  предприятия  по открытию лицевого счета для учета операций с субсидиями;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обязанность перечисления субсидии на лицевой счет; порядок возврата  государственным предприятием средств в объеме остатка не использованной на начало очередного финансового года ранее перечисленной субсидии; порядок возврата сумм, использованных  государственным  предприятием, в случае установления по результатам проверок фактов нарушения предприятием условий, определенных соглашением. Таким образом, УГИ НАО нарушены условия предоставления ГУП НАО «АПК», субсидии в размере 13 500 000 руб.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23. Поскольку УГИ НАО субсидия  ГУП НАО «АПК» предоставлена в соответствии со статьей с частью 2 статьи 14 Закона № 161-ФЗ, в нарушение пункта 4 статьи 78.2 БК РФ средства в размере 13 500 000 руб. перечислены не на лицевой, а на расчетный счет ГУП НАО «АПК». Размер финансового нарушения 13 500 000 руб.   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>УГИ НАО не предприняты меры к обеспечению правильного отражения в Законе № 103-ОЗ КВР по предоставлению взноса в уставный фонд ГУП НАО «АПК»  в размере 100 000 000 руб. в целях участия ГУП НАО «АПК» в уставном капитале ОАО «</w:t>
      </w:r>
      <w:proofErr w:type="spellStart"/>
      <w:r w:rsidRPr="00774D6C">
        <w:rPr>
          <w:rFonts w:ascii="Times New Roman" w:hAnsi="Times New Roman" w:cs="Times New Roman"/>
          <w:sz w:val="24"/>
          <w:szCs w:val="24"/>
        </w:rPr>
        <w:t>Нарьян-Марстрой</w:t>
      </w:r>
      <w:proofErr w:type="spellEnd"/>
      <w:r w:rsidRPr="00774D6C">
        <w:rPr>
          <w:rFonts w:ascii="Times New Roman" w:hAnsi="Times New Roman" w:cs="Times New Roman"/>
          <w:sz w:val="24"/>
          <w:szCs w:val="24"/>
        </w:rPr>
        <w:t>» путем приобретения обыкновенных именных акций на сумму 100 млн. руб. в целях осуществления Ненецким автономным округом финансового оздоровления ОАО «</w:t>
      </w:r>
      <w:proofErr w:type="spellStart"/>
      <w:r w:rsidRPr="00774D6C">
        <w:rPr>
          <w:rFonts w:ascii="Times New Roman" w:hAnsi="Times New Roman" w:cs="Times New Roman"/>
          <w:sz w:val="24"/>
          <w:szCs w:val="24"/>
        </w:rPr>
        <w:t>Нарьян-Марстрой</w:t>
      </w:r>
      <w:proofErr w:type="spellEnd"/>
      <w:r w:rsidRPr="00774D6C">
        <w:rPr>
          <w:rFonts w:ascii="Times New Roman" w:hAnsi="Times New Roman" w:cs="Times New Roman"/>
          <w:sz w:val="24"/>
          <w:szCs w:val="24"/>
        </w:rPr>
        <w:t xml:space="preserve">».    </w:t>
      </w:r>
      <w:proofErr w:type="gramEnd"/>
    </w:p>
    <w:p w:rsidR="00774D6C" w:rsidRPr="00774D6C" w:rsidRDefault="00774D6C" w:rsidP="00774D6C">
      <w:pPr>
        <w:tabs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>25. В связи с отсутствием в Договоре о предоставлении бюджетных ассигнований ГУП НАО «</w:t>
      </w:r>
      <w:proofErr w:type="spellStart"/>
      <w:r w:rsidRPr="00774D6C">
        <w:rPr>
          <w:rFonts w:ascii="Times New Roman" w:hAnsi="Times New Roman" w:cs="Times New Roman"/>
          <w:sz w:val="24"/>
          <w:szCs w:val="24"/>
        </w:rPr>
        <w:t>Нарьян-Мардорремстрой</w:t>
      </w:r>
      <w:proofErr w:type="spellEnd"/>
      <w:r w:rsidRPr="00774D6C">
        <w:rPr>
          <w:rFonts w:ascii="Times New Roman" w:hAnsi="Times New Roman" w:cs="Times New Roman"/>
          <w:sz w:val="24"/>
          <w:szCs w:val="24"/>
        </w:rPr>
        <w:t xml:space="preserve">» положений об исключении из суммы субсидии НДС, подлежащего вычету, </w:t>
      </w:r>
      <w:r w:rsidRPr="00774D6C">
        <w:rPr>
          <w:rFonts w:ascii="Times New Roman" w:eastAsia="Calibri" w:hAnsi="Times New Roman" w:cs="Times New Roman"/>
          <w:bCs/>
          <w:iCs/>
          <w:sz w:val="24"/>
          <w:szCs w:val="24"/>
        </w:rPr>
        <w:t>условий возврата предоставленных сре</w:t>
      </w:r>
      <w:proofErr w:type="gramStart"/>
      <w:r w:rsidRPr="00774D6C">
        <w:rPr>
          <w:rFonts w:ascii="Times New Roman" w:eastAsia="Calibri" w:hAnsi="Times New Roman" w:cs="Times New Roman"/>
          <w:bCs/>
          <w:iCs/>
          <w:sz w:val="24"/>
          <w:szCs w:val="24"/>
        </w:rPr>
        <w:t>дств в сл</w:t>
      </w:r>
      <w:proofErr w:type="gramEnd"/>
      <w:r w:rsidRPr="00774D6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учае вычета НДС, бюджетные средства в размере </w:t>
      </w:r>
      <w:r w:rsidRPr="00774D6C">
        <w:rPr>
          <w:rFonts w:ascii="Times New Roman" w:hAnsi="Times New Roman" w:cs="Times New Roman"/>
          <w:sz w:val="24"/>
          <w:szCs w:val="24"/>
        </w:rPr>
        <w:t>9 146 584,22 руб. в нарушение статьи 34 БК РФ использованы УГИ НАО неэффективно. Размер финансового нарушения 9 146 584,22 руб.</w:t>
      </w:r>
    </w:p>
    <w:p w:rsidR="00774D6C" w:rsidRPr="00774D6C" w:rsidRDefault="00774D6C" w:rsidP="0077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6C">
        <w:rPr>
          <w:rFonts w:ascii="Times New Roman" w:hAnsi="Times New Roman" w:cs="Times New Roman"/>
          <w:sz w:val="24"/>
          <w:szCs w:val="24"/>
        </w:rPr>
        <w:t xml:space="preserve">26. В нарушение статьи 162 БК РФ УГИ НАО не осуществлялся непрерывный 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использованием ГУП НАО «НКЭС» и ГУП НАО «АПК» предоставленных средств, т.е. не предпринимались достаточные меры, направленные на обеспечение результативности предусмотренных ему бюджетных ассигнований. </w:t>
      </w:r>
    </w:p>
    <w:p w:rsidR="006F40AD" w:rsidRPr="00B64E07" w:rsidRDefault="00774D6C" w:rsidP="004E4FA9">
      <w:pPr>
        <w:spacing w:after="0" w:line="240" w:lineRule="auto"/>
        <w:ind w:firstLine="567"/>
        <w:jc w:val="both"/>
      </w:pPr>
      <w:r w:rsidRPr="00774D6C">
        <w:rPr>
          <w:rFonts w:ascii="Times New Roman" w:hAnsi="Times New Roman" w:cs="Times New Roman"/>
          <w:sz w:val="24"/>
          <w:szCs w:val="24"/>
        </w:rPr>
        <w:t xml:space="preserve">27. В нарушение статьи 162 БК РФ УГИ НАО не осуществлялся эффективный </w:t>
      </w:r>
      <w:proofErr w:type="gramStart"/>
      <w:r w:rsidRPr="00774D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4D6C">
        <w:rPr>
          <w:rFonts w:ascii="Times New Roman" w:hAnsi="Times New Roman" w:cs="Times New Roman"/>
          <w:sz w:val="24"/>
          <w:szCs w:val="24"/>
        </w:rPr>
        <w:t xml:space="preserve"> использованием ГУП НАО «АПК» и ГУП НАО «</w:t>
      </w:r>
      <w:proofErr w:type="spellStart"/>
      <w:r w:rsidRPr="00774D6C">
        <w:rPr>
          <w:rFonts w:ascii="Times New Roman" w:hAnsi="Times New Roman" w:cs="Times New Roman"/>
          <w:sz w:val="24"/>
          <w:szCs w:val="24"/>
        </w:rPr>
        <w:t>Нарьян-Мардорремстрой</w:t>
      </w:r>
      <w:proofErr w:type="spellEnd"/>
      <w:r w:rsidRPr="00774D6C">
        <w:rPr>
          <w:rFonts w:ascii="Times New Roman" w:hAnsi="Times New Roman" w:cs="Times New Roman"/>
          <w:sz w:val="24"/>
          <w:szCs w:val="24"/>
        </w:rPr>
        <w:t xml:space="preserve">» предоставленных средств, т.е. не предпринимались достаточные меры, направленные на обеспечение результативности предусмотренных ему бюджетных ассигнований. </w:t>
      </w:r>
      <w:bookmarkStart w:id="0" w:name="_GoBack"/>
      <w:bookmarkEnd w:id="0"/>
    </w:p>
    <w:sectPr w:rsidR="006F40AD" w:rsidRPr="00B64E07" w:rsidSect="00B52500">
      <w:headerReference w:type="default" r:id="rId9"/>
      <w:pgSz w:w="11905" w:h="16838"/>
      <w:pgMar w:top="993" w:right="425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71" w:rsidRDefault="00EB2571" w:rsidP="007F7279">
      <w:pPr>
        <w:spacing w:after="0" w:line="240" w:lineRule="auto"/>
      </w:pPr>
      <w:r>
        <w:separator/>
      </w:r>
    </w:p>
  </w:endnote>
  <w:endnote w:type="continuationSeparator" w:id="0">
    <w:p w:rsidR="00EB2571" w:rsidRDefault="00EB2571" w:rsidP="007F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71" w:rsidRDefault="00EB2571" w:rsidP="007F7279">
      <w:pPr>
        <w:spacing w:after="0" w:line="240" w:lineRule="auto"/>
      </w:pPr>
      <w:r>
        <w:separator/>
      </w:r>
    </w:p>
  </w:footnote>
  <w:footnote w:type="continuationSeparator" w:id="0">
    <w:p w:rsidR="00EB2571" w:rsidRDefault="00EB2571" w:rsidP="007F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106309"/>
      <w:docPartObj>
        <w:docPartGallery w:val="Page Numbers (Top of Page)"/>
        <w:docPartUnique/>
      </w:docPartObj>
    </w:sdtPr>
    <w:sdtEndPr/>
    <w:sdtContent>
      <w:p w:rsidR="006F40AD" w:rsidRDefault="006F40AD">
        <w:pPr>
          <w:pStyle w:val="ac"/>
          <w:jc w:val="center"/>
        </w:pPr>
      </w:p>
      <w:p w:rsidR="006F40AD" w:rsidRDefault="006F40AD">
        <w:pPr>
          <w:pStyle w:val="ac"/>
          <w:jc w:val="center"/>
        </w:pPr>
      </w:p>
      <w:p w:rsidR="006F40AD" w:rsidRDefault="006F40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D6C">
          <w:rPr>
            <w:noProof/>
          </w:rPr>
          <w:t>2</w:t>
        </w:r>
        <w:r>
          <w:fldChar w:fldCharType="end"/>
        </w:r>
      </w:p>
    </w:sdtContent>
  </w:sdt>
  <w:p w:rsidR="006F40AD" w:rsidRDefault="006F40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0ED7"/>
    <w:multiLevelType w:val="hybridMultilevel"/>
    <w:tmpl w:val="67A00202"/>
    <w:lvl w:ilvl="0" w:tplc="C1464D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4892"/>
    <w:multiLevelType w:val="hybridMultilevel"/>
    <w:tmpl w:val="C4D81626"/>
    <w:lvl w:ilvl="0" w:tplc="8B9A242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0C472E6"/>
    <w:multiLevelType w:val="hybridMultilevel"/>
    <w:tmpl w:val="DE2E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F0E6B"/>
    <w:multiLevelType w:val="hybridMultilevel"/>
    <w:tmpl w:val="C4D81626"/>
    <w:lvl w:ilvl="0" w:tplc="8B9A242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BA75DA1"/>
    <w:multiLevelType w:val="hybridMultilevel"/>
    <w:tmpl w:val="23A4CF66"/>
    <w:lvl w:ilvl="0" w:tplc="810AE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B54E7B"/>
    <w:multiLevelType w:val="hybridMultilevel"/>
    <w:tmpl w:val="7D42D9EE"/>
    <w:lvl w:ilvl="0" w:tplc="3E9EA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796CA3"/>
    <w:multiLevelType w:val="hybridMultilevel"/>
    <w:tmpl w:val="022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2299A"/>
    <w:multiLevelType w:val="multilevel"/>
    <w:tmpl w:val="076C210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D577198"/>
    <w:multiLevelType w:val="hybridMultilevel"/>
    <w:tmpl w:val="12E8B87C"/>
    <w:lvl w:ilvl="0" w:tplc="67D82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9A13C3"/>
    <w:multiLevelType w:val="hybridMultilevel"/>
    <w:tmpl w:val="252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908"/>
    <w:rsid w:val="00001824"/>
    <w:rsid w:val="00010DD3"/>
    <w:rsid w:val="00022D9A"/>
    <w:rsid w:val="000233F5"/>
    <w:rsid w:val="00033FBD"/>
    <w:rsid w:val="00044B8D"/>
    <w:rsid w:val="00051220"/>
    <w:rsid w:val="000556AD"/>
    <w:rsid w:val="00055BB4"/>
    <w:rsid w:val="00071231"/>
    <w:rsid w:val="00071906"/>
    <w:rsid w:val="000735D7"/>
    <w:rsid w:val="0008287E"/>
    <w:rsid w:val="000904EF"/>
    <w:rsid w:val="00095B0F"/>
    <w:rsid w:val="000963D5"/>
    <w:rsid w:val="00097AFA"/>
    <w:rsid w:val="000A69A8"/>
    <w:rsid w:val="000B2D67"/>
    <w:rsid w:val="000C4946"/>
    <w:rsid w:val="000C6399"/>
    <w:rsid w:val="000D13E7"/>
    <w:rsid w:val="000D61F9"/>
    <w:rsid w:val="000E4DA4"/>
    <w:rsid w:val="000F3C02"/>
    <w:rsid w:val="000F564F"/>
    <w:rsid w:val="000F774A"/>
    <w:rsid w:val="00102DCA"/>
    <w:rsid w:val="00112193"/>
    <w:rsid w:val="00114163"/>
    <w:rsid w:val="00170B33"/>
    <w:rsid w:val="001722B4"/>
    <w:rsid w:val="00173DED"/>
    <w:rsid w:val="00185DD5"/>
    <w:rsid w:val="00196BFA"/>
    <w:rsid w:val="001A45DB"/>
    <w:rsid w:val="001A69D5"/>
    <w:rsid w:val="001D35A3"/>
    <w:rsid w:val="001D3C50"/>
    <w:rsid w:val="001D3EEB"/>
    <w:rsid w:val="001D6CB3"/>
    <w:rsid w:val="001E4EF7"/>
    <w:rsid w:val="001E5B91"/>
    <w:rsid w:val="001F7892"/>
    <w:rsid w:val="00200F7C"/>
    <w:rsid w:val="00204C17"/>
    <w:rsid w:val="0020655C"/>
    <w:rsid w:val="00225F4B"/>
    <w:rsid w:val="00232997"/>
    <w:rsid w:val="002351E6"/>
    <w:rsid w:val="0023772E"/>
    <w:rsid w:val="00244E5B"/>
    <w:rsid w:val="00267515"/>
    <w:rsid w:val="002827EE"/>
    <w:rsid w:val="0028436C"/>
    <w:rsid w:val="002879E1"/>
    <w:rsid w:val="00290010"/>
    <w:rsid w:val="002923C8"/>
    <w:rsid w:val="002C417F"/>
    <w:rsid w:val="002C4F0E"/>
    <w:rsid w:val="002D459A"/>
    <w:rsid w:val="002F57DA"/>
    <w:rsid w:val="00317B47"/>
    <w:rsid w:val="00321F6C"/>
    <w:rsid w:val="00323471"/>
    <w:rsid w:val="00323613"/>
    <w:rsid w:val="00325154"/>
    <w:rsid w:val="00326144"/>
    <w:rsid w:val="00330D23"/>
    <w:rsid w:val="00331C41"/>
    <w:rsid w:val="00340D6D"/>
    <w:rsid w:val="00357A1E"/>
    <w:rsid w:val="00360169"/>
    <w:rsid w:val="00365EE1"/>
    <w:rsid w:val="00371513"/>
    <w:rsid w:val="00372D40"/>
    <w:rsid w:val="003735B0"/>
    <w:rsid w:val="00386142"/>
    <w:rsid w:val="003B7452"/>
    <w:rsid w:val="003D2A22"/>
    <w:rsid w:val="003E2A81"/>
    <w:rsid w:val="003E5320"/>
    <w:rsid w:val="003F1110"/>
    <w:rsid w:val="00405B40"/>
    <w:rsid w:val="00411C46"/>
    <w:rsid w:val="00413995"/>
    <w:rsid w:val="00414197"/>
    <w:rsid w:val="00416119"/>
    <w:rsid w:val="00416530"/>
    <w:rsid w:val="004309DB"/>
    <w:rsid w:val="00430F61"/>
    <w:rsid w:val="004405DF"/>
    <w:rsid w:val="004415B9"/>
    <w:rsid w:val="00444E58"/>
    <w:rsid w:val="00451A49"/>
    <w:rsid w:val="00452873"/>
    <w:rsid w:val="00461466"/>
    <w:rsid w:val="00467715"/>
    <w:rsid w:val="004729C5"/>
    <w:rsid w:val="00474AF3"/>
    <w:rsid w:val="00484089"/>
    <w:rsid w:val="00487459"/>
    <w:rsid w:val="004A4AB1"/>
    <w:rsid w:val="004C2C58"/>
    <w:rsid w:val="004D18F8"/>
    <w:rsid w:val="004E212F"/>
    <w:rsid w:val="004E2240"/>
    <w:rsid w:val="004E4FA9"/>
    <w:rsid w:val="004F107D"/>
    <w:rsid w:val="00503B75"/>
    <w:rsid w:val="0053205F"/>
    <w:rsid w:val="00535F31"/>
    <w:rsid w:val="00553059"/>
    <w:rsid w:val="00561210"/>
    <w:rsid w:val="00561CF6"/>
    <w:rsid w:val="00574796"/>
    <w:rsid w:val="005749A9"/>
    <w:rsid w:val="00577916"/>
    <w:rsid w:val="00585F28"/>
    <w:rsid w:val="005C001E"/>
    <w:rsid w:val="005D2CBC"/>
    <w:rsid w:val="005D38B1"/>
    <w:rsid w:val="005D3900"/>
    <w:rsid w:val="005D6B92"/>
    <w:rsid w:val="005F228D"/>
    <w:rsid w:val="006010E1"/>
    <w:rsid w:val="00622908"/>
    <w:rsid w:val="0062426C"/>
    <w:rsid w:val="00641CD5"/>
    <w:rsid w:val="00645056"/>
    <w:rsid w:val="006532E0"/>
    <w:rsid w:val="00653BB9"/>
    <w:rsid w:val="0066229D"/>
    <w:rsid w:val="0066292C"/>
    <w:rsid w:val="00667F79"/>
    <w:rsid w:val="00677B88"/>
    <w:rsid w:val="0068099E"/>
    <w:rsid w:val="00680CBF"/>
    <w:rsid w:val="00681B14"/>
    <w:rsid w:val="00681C31"/>
    <w:rsid w:val="00682660"/>
    <w:rsid w:val="006859C8"/>
    <w:rsid w:val="006941C3"/>
    <w:rsid w:val="006A2C25"/>
    <w:rsid w:val="006A4013"/>
    <w:rsid w:val="006A4DE5"/>
    <w:rsid w:val="006B15BF"/>
    <w:rsid w:val="006B37B5"/>
    <w:rsid w:val="006B6AF2"/>
    <w:rsid w:val="006C1BAE"/>
    <w:rsid w:val="006C30BF"/>
    <w:rsid w:val="006C4A8F"/>
    <w:rsid w:val="006C5CB5"/>
    <w:rsid w:val="006F40AD"/>
    <w:rsid w:val="006F586D"/>
    <w:rsid w:val="00701ADC"/>
    <w:rsid w:val="00704F9C"/>
    <w:rsid w:val="007210D2"/>
    <w:rsid w:val="0072545F"/>
    <w:rsid w:val="007312DF"/>
    <w:rsid w:val="00737B2C"/>
    <w:rsid w:val="00752187"/>
    <w:rsid w:val="0075247F"/>
    <w:rsid w:val="0076268F"/>
    <w:rsid w:val="00774D6C"/>
    <w:rsid w:val="00783968"/>
    <w:rsid w:val="007840FA"/>
    <w:rsid w:val="00790A76"/>
    <w:rsid w:val="007B3721"/>
    <w:rsid w:val="007B540E"/>
    <w:rsid w:val="007B7DD6"/>
    <w:rsid w:val="007C348B"/>
    <w:rsid w:val="007C6820"/>
    <w:rsid w:val="007E209D"/>
    <w:rsid w:val="007F0286"/>
    <w:rsid w:val="007F7279"/>
    <w:rsid w:val="008002EE"/>
    <w:rsid w:val="0080053F"/>
    <w:rsid w:val="00813984"/>
    <w:rsid w:val="00815E61"/>
    <w:rsid w:val="00827A50"/>
    <w:rsid w:val="008365EE"/>
    <w:rsid w:val="008478EB"/>
    <w:rsid w:val="0085521A"/>
    <w:rsid w:val="00862341"/>
    <w:rsid w:val="008630BA"/>
    <w:rsid w:val="0086338D"/>
    <w:rsid w:val="00864549"/>
    <w:rsid w:val="00884C4E"/>
    <w:rsid w:val="00886F21"/>
    <w:rsid w:val="00891925"/>
    <w:rsid w:val="00891FA1"/>
    <w:rsid w:val="008B12E1"/>
    <w:rsid w:val="008B6835"/>
    <w:rsid w:val="008D1A4E"/>
    <w:rsid w:val="008D2F1B"/>
    <w:rsid w:val="008F7997"/>
    <w:rsid w:val="00912723"/>
    <w:rsid w:val="00925180"/>
    <w:rsid w:val="00925EBA"/>
    <w:rsid w:val="009379F7"/>
    <w:rsid w:val="009406A5"/>
    <w:rsid w:val="00946AD5"/>
    <w:rsid w:val="009476E3"/>
    <w:rsid w:val="009477D0"/>
    <w:rsid w:val="00947E23"/>
    <w:rsid w:val="00953CA7"/>
    <w:rsid w:val="00960217"/>
    <w:rsid w:val="0096267F"/>
    <w:rsid w:val="009728A9"/>
    <w:rsid w:val="00976294"/>
    <w:rsid w:val="00991D36"/>
    <w:rsid w:val="009923F4"/>
    <w:rsid w:val="009A63C9"/>
    <w:rsid w:val="009A79A7"/>
    <w:rsid w:val="009B5671"/>
    <w:rsid w:val="009C38FD"/>
    <w:rsid w:val="009D5570"/>
    <w:rsid w:val="009E1835"/>
    <w:rsid w:val="009E7C8C"/>
    <w:rsid w:val="009F4D7C"/>
    <w:rsid w:val="009F5F79"/>
    <w:rsid w:val="009F6356"/>
    <w:rsid w:val="00A03249"/>
    <w:rsid w:val="00A0486A"/>
    <w:rsid w:val="00A05A99"/>
    <w:rsid w:val="00A06EC9"/>
    <w:rsid w:val="00A10E6A"/>
    <w:rsid w:val="00A17B72"/>
    <w:rsid w:val="00A2719B"/>
    <w:rsid w:val="00A37D1D"/>
    <w:rsid w:val="00A40A42"/>
    <w:rsid w:val="00A45916"/>
    <w:rsid w:val="00A52BBF"/>
    <w:rsid w:val="00A52FCE"/>
    <w:rsid w:val="00A56965"/>
    <w:rsid w:val="00A605EA"/>
    <w:rsid w:val="00A64F0A"/>
    <w:rsid w:val="00A675FF"/>
    <w:rsid w:val="00A67BBA"/>
    <w:rsid w:val="00A70FC7"/>
    <w:rsid w:val="00A73425"/>
    <w:rsid w:val="00A753AF"/>
    <w:rsid w:val="00A93420"/>
    <w:rsid w:val="00AA3B57"/>
    <w:rsid w:val="00AA439B"/>
    <w:rsid w:val="00AA5191"/>
    <w:rsid w:val="00AA7F49"/>
    <w:rsid w:val="00AB52A3"/>
    <w:rsid w:val="00AC3745"/>
    <w:rsid w:val="00AC7962"/>
    <w:rsid w:val="00AD329B"/>
    <w:rsid w:val="00AD35CB"/>
    <w:rsid w:val="00AD782A"/>
    <w:rsid w:val="00AE39FC"/>
    <w:rsid w:val="00B00318"/>
    <w:rsid w:val="00B00DFC"/>
    <w:rsid w:val="00B2544D"/>
    <w:rsid w:val="00B36089"/>
    <w:rsid w:val="00B37E57"/>
    <w:rsid w:val="00B40BF5"/>
    <w:rsid w:val="00B43FB2"/>
    <w:rsid w:val="00B52500"/>
    <w:rsid w:val="00B550D6"/>
    <w:rsid w:val="00B5727F"/>
    <w:rsid w:val="00B64E07"/>
    <w:rsid w:val="00B6551D"/>
    <w:rsid w:val="00B824BA"/>
    <w:rsid w:val="00B86F7C"/>
    <w:rsid w:val="00B92FBE"/>
    <w:rsid w:val="00B94664"/>
    <w:rsid w:val="00B95178"/>
    <w:rsid w:val="00B97897"/>
    <w:rsid w:val="00BA3E7E"/>
    <w:rsid w:val="00BA48DF"/>
    <w:rsid w:val="00BA4AC2"/>
    <w:rsid w:val="00BA5556"/>
    <w:rsid w:val="00BB7FBD"/>
    <w:rsid w:val="00BC7A5F"/>
    <w:rsid w:val="00BD1608"/>
    <w:rsid w:val="00BD1DBC"/>
    <w:rsid w:val="00BD2E4B"/>
    <w:rsid w:val="00BD5A36"/>
    <w:rsid w:val="00BE1E44"/>
    <w:rsid w:val="00BE32D4"/>
    <w:rsid w:val="00BE5A79"/>
    <w:rsid w:val="00BF3905"/>
    <w:rsid w:val="00BF6305"/>
    <w:rsid w:val="00C04521"/>
    <w:rsid w:val="00C201F5"/>
    <w:rsid w:val="00C24B5D"/>
    <w:rsid w:val="00C3282A"/>
    <w:rsid w:val="00C433BF"/>
    <w:rsid w:val="00C43E2E"/>
    <w:rsid w:val="00C44E96"/>
    <w:rsid w:val="00C56BA9"/>
    <w:rsid w:val="00C634D9"/>
    <w:rsid w:val="00C93918"/>
    <w:rsid w:val="00CB4B58"/>
    <w:rsid w:val="00CC3064"/>
    <w:rsid w:val="00CC5969"/>
    <w:rsid w:val="00CC7518"/>
    <w:rsid w:val="00CE04F7"/>
    <w:rsid w:val="00CE062E"/>
    <w:rsid w:val="00CE399B"/>
    <w:rsid w:val="00CF3F39"/>
    <w:rsid w:val="00CF42F4"/>
    <w:rsid w:val="00CF6250"/>
    <w:rsid w:val="00D01439"/>
    <w:rsid w:val="00D125E5"/>
    <w:rsid w:val="00D20159"/>
    <w:rsid w:val="00D219E0"/>
    <w:rsid w:val="00D25681"/>
    <w:rsid w:val="00D27C7D"/>
    <w:rsid w:val="00D27FA8"/>
    <w:rsid w:val="00D32D79"/>
    <w:rsid w:val="00D403ED"/>
    <w:rsid w:val="00D404C4"/>
    <w:rsid w:val="00D4091C"/>
    <w:rsid w:val="00D44041"/>
    <w:rsid w:val="00D441A4"/>
    <w:rsid w:val="00D46C29"/>
    <w:rsid w:val="00D62F0A"/>
    <w:rsid w:val="00D71AD1"/>
    <w:rsid w:val="00D72F6A"/>
    <w:rsid w:val="00D87F1D"/>
    <w:rsid w:val="00D92E7C"/>
    <w:rsid w:val="00D95B90"/>
    <w:rsid w:val="00D95EF9"/>
    <w:rsid w:val="00D960F2"/>
    <w:rsid w:val="00D972E4"/>
    <w:rsid w:val="00DB040C"/>
    <w:rsid w:val="00DB0861"/>
    <w:rsid w:val="00DC25C6"/>
    <w:rsid w:val="00DC3F52"/>
    <w:rsid w:val="00DD199B"/>
    <w:rsid w:val="00DD2E5C"/>
    <w:rsid w:val="00DD4812"/>
    <w:rsid w:val="00DF462B"/>
    <w:rsid w:val="00DF4F07"/>
    <w:rsid w:val="00E0692B"/>
    <w:rsid w:val="00E07AFE"/>
    <w:rsid w:val="00E15FC4"/>
    <w:rsid w:val="00E20ABD"/>
    <w:rsid w:val="00E247A1"/>
    <w:rsid w:val="00E27DC0"/>
    <w:rsid w:val="00E33058"/>
    <w:rsid w:val="00E37431"/>
    <w:rsid w:val="00E45AE5"/>
    <w:rsid w:val="00E635BE"/>
    <w:rsid w:val="00E63975"/>
    <w:rsid w:val="00E70828"/>
    <w:rsid w:val="00E72833"/>
    <w:rsid w:val="00E769A4"/>
    <w:rsid w:val="00E8204B"/>
    <w:rsid w:val="00E8413C"/>
    <w:rsid w:val="00E87A81"/>
    <w:rsid w:val="00E91DD1"/>
    <w:rsid w:val="00E971CE"/>
    <w:rsid w:val="00EA3EB8"/>
    <w:rsid w:val="00EB2571"/>
    <w:rsid w:val="00EC0E2B"/>
    <w:rsid w:val="00EC75B3"/>
    <w:rsid w:val="00EC7CC5"/>
    <w:rsid w:val="00ED5920"/>
    <w:rsid w:val="00EE6307"/>
    <w:rsid w:val="00EE7930"/>
    <w:rsid w:val="00EF0936"/>
    <w:rsid w:val="00F01E15"/>
    <w:rsid w:val="00F0540E"/>
    <w:rsid w:val="00F14247"/>
    <w:rsid w:val="00F24EB8"/>
    <w:rsid w:val="00F32877"/>
    <w:rsid w:val="00F3287D"/>
    <w:rsid w:val="00F329FE"/>
    <w:rsid w:val="00F363E3"/>
    <w:rsid w:val="00F3714B"/>
    <w:rsid w:val="00F42EE0"/>
    <w:rsid w:val="00F470DE"/>
    <w:rsid w:val="00F55C8A"/>
    <w:rsid w:val="00F63C88"/>
    <w:rsid w:val="00F775B5"/>
    <w:rsid w:val="00F77BEF"/>
    <w:rsid w:val="00F84001"/>
    <w:rsid w:val="00F8437B"/>
    <w:rsid w:val="00F8547B"/>
    <w:rsid w:val="00F86A56"/>
    <w:rsid w:val="00FA0EFC"/>
    <w:rsid w:val="00FA2DF0"/>
    <w:rsid w:val="00FB030E"/>
    <w:rsid w:val="00FC0715"/>
    <w:rsid w:val="00FC2FD1"/>
    <w:rsid w:val="00FD453D"/>
    <w:rsid w:val="00FD5923"/>
    <w:rsid w:val="00FD61A3"/>
    <w:rsid w:val="00FE0F06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37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5F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371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1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71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71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71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14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7279"/>
  </w:style>
  <w:style w:type="paragraph" w:styleId="ae">
    <w:name w:val="footer"/>
    <w:basedOn w:val="a"/>
    <w:link w:val="af"/>
    <w:uiPriority w:val="99"/>
    <w:unhideWhenUsed/>
    <w:rsid w:val="007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37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98186-075B-4483-8661-D3A3485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Екатерина Валерьевна</dc:creator>
  <cp:keywords/>
  <dc:description/>
  <cp:lastModifiedBy>Зырянова Екатерина Валерьевна</cp:lastModifiedBy>
  <cp:revision>254</cp:revision>
  <cp:lastPrinted>2016-09-08T11:05:00Z</cp:lastPrinted>
  <dcterms:created xsi:type="dcterms:W3CDTF">2016-08-11T07:20:00Z</dcterms:created>
  <dcterms:modified xsi:type="dcterms:W3CDTF">2016-10-12T13:13:00Z</dcterms:modified>
</cp:coreProperties>
</file>